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87" w:rsidRDefault="009F1787" w:rsidP="009F1787">
      <w:pPr>
        <w:suppressAutoHyphens/>
        <w:autoSpaceDE w:val="0"/>
        <w:autoSpaceDN w:val="0"/>
        <w:spacing w:before="168" w:line="36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F1787">
        <w:rPr>
          <w:rFonts w:ascii="Times New Roman" w:hAnsi="Times New Roman"/>
          <w:b/>
          <w:sz w:val="24"/>
          <w:szCs w:val="24"/>
        </w:rPr>
        <w:t xml:space="preserve">Zasady przeprowadzenia egzaminu adwokackiego </w:t>
      </w:r>
    </w:p>
    <w:p w:rsidR="009F1787" w:rsidRPr="009F1787" w:rsidRDefault="009F1787" w:rsidP="009F1787">
      <w:pPr>
        <w:suppressAutoHyphens/>
        <w:autoSpaceDE w:val="0"/>
        <w:autoSpaceDN w:val="0"/>
        <w:spacing w:before="168" w:line="36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F1787">
        <w:rPr>
          <w:rFonts w:ascii="Times New Roman" w:hAnsi="Times New Roman"/>
          <w:b/>
          <w:sz w:val="24"/>
          <w:szCs w:val="24"/>
        </w:rPr>
        <w:t>w dniach 23-26 czerwca 2020 roku.</w:t>
      </w:r>
    </w:p>
    <w:p w:rsidR="009F1787" w:rsidRDefault="009F1787" w:rsidP="009F1787">
      <w:pPr>
        <w:suppressAutoHyphens/>
        <w:autoSpaceDE w:val="0"/>
        <w:autoSpaceDN w:val="0"/>
        <w:spacing w:before="168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F1787" w:rsidRDefault="009F1787" w:rsidP="009F1787">
      <w:pPr>
        <w:suppressAutoHyphens/>
        <w:autoSpaceDE w:val="0"/>
        <w:autoSpaceDN w:val="0"/>
        <w:spacing w:before="168" w:line="360" w:lineRule="auto"/>
        <w:ind w:firstLine="708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</w:rPr>
      </w:pPr>
      <w:r w:rsidRPr="004103D3">
        <w:rPr>
          <w:rFonts w:ascii="Times New Roman" w:hAnsi="Times New Roman"/>
          <w:sz w:val="24"/>
          <w:szCs w:val="24"/>
        </w:rPr>
        <w:t>Z uwagi na przeprowadzenie egzaminu w szczególnych warunkach organizacyjnych wywołanych stanem epidemii Minister Sprawiedliwości wystąpił do Głównego Inspektora Sanitarnego o wydanie szczegółowych wytycznych dot. organizacji egzaminu. Uzyskane           w dniu 26 maja 2020 r. wytyczne co do zabezpieczeń i obostrzeń w trakcie egzaminu adwokackiego zostały opublikowane na stronie internetowej Ministerstwa Sprawiedliwości      w BIP</w:t>
      </w:r>
      <w:r w:rsidR="00BC1882">
        <w:rPr>
          <w:rFonts w:ascii="Times New Roman" w:hAnsi="Times New Roman"/>
          <w:sz w:val="24"/>
          <w:szCs w:val="24"/>
        </w:rPr>
        <w:t xml:space="preserve">. </w:t>
      </w:r>
      <w:r w:rsidRPr="00410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Ze względu na szczególną doniosłość tych wytycznych i konieczność poczynienia przez zdających odpowiednich przygotowań jeszcze </w:t>
      </w:r>
      <w:r>
        <w:rPr>
          <w:rFonts w:ascii="Times New Roman" w:eastAsia="Arial Unicode MS" w:hAnsi="Times New Roman"/>
          <w:bCs/>
          <w:sz w:val="24"/>
          <w:szCs w:val="24"/>
        </w:rPr>
        <w:t>przed przystąpieniem do egzaminu prosimy o zapoznanie się z poniższymi zasadami.</w:t>
      </w:r>
    </w:p>
    <w:p w:rsidR="009F1787" w:rsidRPr="004729B5" w:rsidRDefault="009F1787" w:rsidP="009F1787">
      <w:pPr>
        <w:suppressAutoHyphens/>
        <w:autoSpaceDE w:val="0"/>
        <w:autoSpaceDN w:val="0"/>
        <w:spacing w:before="168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729B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4729B5">
        <w:rPr>
          <w:rFonts w:ascii="Times New Roman" w:eastAsia="Calibri" w:hAnsi="Times New Roman"/>
          <w:sz w:val="24"/>
          <w:szCs w:val="24"/>
        </w:rPr>
        <w:t xml:space="preserve"> Na egzamin może przyjść wyłącznie osoba zdrowa bez objawów chorobowych sugerujących chorobę zakaźną.</w:t>
      </w:r>
    </w:p>
    <w:p w:rsidR="009F1787" w:rsidRPr="001B3811" w:rsidRDefault="009F1787" w:rsidP="009F178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Hlk40872312"/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bookmarkEnd w:id="0"/>
      <w:r w:rsidRPr="001B3811">
        <w:rPr>
          <w:rFonts w:ascii="Times New Roman" w:eastAsia="Calibri" w:hAnsi="Times New Roman"/>
          <w:sz w:val="24"/>
          <w:szCs w:val="24"/>
        </w:rPr>
        <w:t>Zdający nie może przyjść na egzamin, jeżeli przebywa w domu z osobą na kwarantannie lub izolacji w warunkach domowych albo sam jest objęt</w:t>
      </w:r>
      <w:r w:rsidRPr="004729B5">
        <w:rPr>
          <w:rFonts w:ascii="Times New Roman" w:eastAsia="Calibri" w:hAnsi="Times New Roman"/>
          <w:sz w:val="24"/>
          <w:szCs w:val="24"/>
        </w:rPr>
        <w:t>y</w:t>
      </w:r>
      <w:r w:rsidRPr="001B3811">
        <w:rPr>
          <w:rFonts w:ascii="Times New Roman" w:eastAsia="Calibri" w:hAnsi="Times New Roman"/>
          <w:sz w:val="24"/>
          <w:szCs w:val="24"/>
        </w:rPr>
        <w:t xml:space="preserve"> kwarantanną lub izolacją w warunkach domowych.</w:t>
      </w:r>
    </w:p>
    <w:p w:rsidR="009F1787" w:rsidRPr="001B3811" w:rsidRDefault="009F1787" w:rsidP="009F178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Stawiennictwo zdającego z naruszeniem </w:t>
      </w:r>
      <w:r w:rsidRPr="004729B5">
        <w:rPr>
          <w:rFonts w:ascii="Times New Roman" w:eastAsia="Calibri" w:hAnsi="Times New Roman"/>
          <w:sz w:val="24"/>
          <w:szCs w:val="24"/>
        </w:rPr>
        <w:t xml:space="preserve">ww. </w:t>
      </w:r>
      <w:r w:rsidRPr="001B3811">
        <w:rPr>
          <w:rFonts w:ascii="Times New Roman" w:eastAsia="Calibri" w:hAnsi="Times New Roman"/>
          <w:sz w:val="24"/>
          <w:szCs w:val="24"/>
        </w:rPr>
        <w:t xml:space="preserve">warunków stanowi zakłócenie przebiegu egzaminu i jest podstawą do wykluczenia tego zdającego z egzaminu. </w:t>
      </w:r>
    </w:p>
    <w:p w:rsidR="009F1787" w:rsidRPr="001B3811" w:rsidRDefault="009F1787" w:rsidP="009F178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Na terenie parkingu, w miejscu rejestracji oraz w pobliżu sali egzaminacyjnej </w:t>
      </w:r>
      <w:r w:rsidRPr="001B3811">
        <w:rPr>
          <w:rFonts w:ascii="Times New Roman" w:eastAsia="Calibri" w:hAnsi="Times New Roman"/>
          <w:color w:val="000000"/>
          <w:sz w:val="24"/>
          <w:szCs w:val="24"/>
        </w:rPr>
        <w:t xml:space="preserve">obowiązuje zakaz przebywania osób towarzyszących, z wyjątkiem sytuacji, kiedy zdający wymaga pomocy w poruszaniu się oraz w przypadku zdających </w:t>
      </w:r>
      <w:r w:rsidRPr="001B3811">
        <w:rPr>
          <w:rFonts w:ascii="Times New Roman" w:eastAsia="Calibri" w:hAnsi="Times New Roman"/>
          <w:sz w:val="24"/>
          <w:szCs w:val="24"/>
        </w:rPr>
        <w:t>–</w:t>
      </w:r>
      <w:r w:rsidRPr="001B3811">
        <w:rPr>
          <w:rFonts w:ascii="Times New Roman" w:eastAsia="Calibri" w:hAnsi="Times New Roman"/>
          <w:color w:val="000000"/>
          <w:sz w:val="24"/>
          <w:szCs w:val="24"/>
        </w:rPr>
        <w:t xml:space="preserve"> matek karmiących dziecko piersią (na czas przywiezienia dziecka do karmienia </w:t>
      </w:r>
      <w:r w:rsidRPr="001B3811">
        <w:rPr>
          <w:rFonts w:ascii="Times New Roman" w:eastAsia="Calibri" w:hAnsi="Times New Roman"/>
          <w:color w:val="000000"/>
          <w:sz w:val="24"/>
          <w:szCs w:val="24"/>
        </w:rPr>
        <w:br/>
        <w:t>i odebrania dziecka po karmieniu).</w:t>
      </w:r>
    </w:p>
    <w:p w:rsidR="009F1787" w:rsidRPr="001B3811" w:rsidRDefault="009F1787" w:rsidP="009F178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1B3811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>Podczas egzaminów nie będą zapewnione szatnie, a każdy zdający przechowuje swoje okrycia wierzchnie oraz walizki/torby ze swoimi rzeczami obrębie swojego miejsca egzaminacyjnego (odzież – np. na oparciu krzesła), w sposób uniemożliwiający kontakt dotykowy osobom trzecim.</w:t>
      </w:r>
    </w:p>
    <w:p w:rsidR="009F1787" w:rsidRPr="001B3811" w:rsidRDefault="009F1787" w:rsidP="009F1787">
      <w:pPr>
        <w:spacing w:after="0" w:line="360" w:lineRule="auto"/>
        <w:jc w:val="both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bookmarkStart w:id="1" w:name="_Hlk41397323"/>
      <w:r w:rsidRPr="001B3811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bookmarkEnd w:id="1"/>
      <w:r w:rsidRPr="001B3811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Na egzaminie każdy zdający korzysta z przyniesionych przez siebie na egzamin: sprzętu komputerowego, dozwolonych materiałów egzaminacyjnych (tekstów ustaw, komentarzy i orzecznictwa), </w:t>
      </w:r>
      <w:r w:rsidRPr="001B38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własnych przyborów piśmienniczych, kalkulatora itd.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– </w:t>
      </w:r>
      <w:r w:rsidRPr="00923D87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konieczne jest zatem pouczenie, że organizator nie zapewnia tych materiałów                          i przyborów i każdy zdający winien je sobie zapewnić we własnym zakresie i na własny użytek</w:t>
      </w:r>
      <w:r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.</w:t>
      </w:r>
    </w:p>
    <w:p w:rsidR="009F1787" w:rsidRPr="001B3811" w:rsidRDefault="009F1787" w:rsidP="009F178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1B3811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Obowiązuje stanowczy zakaz użyczania między zdającymi jakiejkolwiek rzeczy przyniesionej na egzamin. </w:t>
      </w:r>
    </w:p>
    <w:p w:rsidR="009F1787" w:rsidRPr="001B3811" w:rsidRDefault="009F1787" w:rsidP="009F178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Zdający nie mogą wnosić na salę egzaminacyjną jakichkolwiek rzeczy zbędnych, </w:t>
      </w: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Pr="001B3811">
        <w:rPr>
          <w:rFonts w:ascii="Times New Roman" w:eastAsia="Calibri" w:hAnsi="Times New Roman"/>
          <w:sz w:val="24"/>
          <w:szCs w:val="24"/>
        </w:rPr>
        <w:t>w tym telefonów komórkowych, a Komisja Egzaminacyjna nie zapewnia ich przechowania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Pr="00923D87">
        <w:rPr>
          <w:rFonts w:ascii="Times New Roman" w:eastAsia="Calibri" w:hAnsi="Times New Roman"/>
          <w:i/>
          <w:iCs/>
          <w:sz w:val="24"/>
          <w:szCs w:val="24"/>
        </w:rPr>
        <w:t xml:space="preserve">konieczne jest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zatem </w:t>
      </w:r>
      <w:r w:rsidRPr="00923D87">
        <w:rPr>
          <w:rFonts w:ascii="Times New Roman" w:eastAsia="Calibri" w:hAnsi="Times New Roman"/>
          <w:i/>
          <w:iCs/>
          <w:sz w:val="24"/>
          <w:szCs w:val="24"/>
        </w:rPr>
        <w:t xml:space="preserve">pouczenie o bezwzględnym zakazie </w:t>
      </w:r>
      <w:r>
        <w:rPr>
          <w:rFonts w:ascii="Times New Roman" w:eastAsia="Calibri" w:hAnsi="Times New Roman"/>
          <w:i/>
          <w:iCs/>
          <w:sz w:val="24"/>
          <w:szCs w:val="24"/>
        </w:rPr>
        <w:t>wniesienia</w:t>
      </w:r>
      <w:r w:rsidRPr="00923D87">
        <w:rPr>
          <w:rFonts w:ascii="Times New Roman" w:eastAsia="Calibri" w:hAnsi="Times New Roman"/>
          <w:i/>
          <w:iCs/>
          <w:sz w:val="24"/>
          <w:szCs w:val="24"/>
        </w:rPr>
        <w:t xml:space="preserve"> telefonów komórkowych, które w  razie złamania tego zakazu będą musiały być pozostawione poza salą egzaminacyjną bez </w:t>
      </w:r>
      <w:proofErr w:type="spellStart"/>
      <w:r w:rsidRPr="00923D87">
        <w:rPr>
          <w:rFonts w:ascii="Times New Roman" w:eastAsia="Calibri" w:hAnsi="Times New Roman"/>
          <w:i/>
          <w:iCs/>
          <w:sz w:val="24"/>
          <w:szCs w:val="24"/>
        </w:rPr>
        <w:t>jakiegokolowiek</w:t>
      </w:r>
      <w:proofErr w:type="spellEnd"/>
      <w:r w:rsidRPr="00923D87">
        <w:rPr>
          <w:rFonts w:ascii="Times New Roman" w:eastAsia="Calibri" w:hAnsi="Times New Roman"/>
          <w:i/>
          <w:iCs/>
          <w:sz w:val="24"/>
          <w:szCs w:val="24"/>
        </w:rPr>
        <w:t xml:space="preserve"> dozoru</w:t>
      </w:r>
      <w:r w:rsidRPr="001B3811">
        <w:rPr>
          <w:rFonts w:ascii="Times New Roman" w:eastAsia="Calibri" w:hAnsi="Times New Roman"/>
          <w:i/>
          <w:iCs/>
          <w:sz w:val="24"/>
          <w:szCs w:val="24"/>
        </w:rPr>
        <w:t>.</w:t>
      </w:r>
      <w:r w:rsidRPr="001B3811">
        <w:rPr>
          <w:rFonts w:ascii="Times New Roman" w:eastAsia="Calibri" w:hAnsi="Times New Roman"/>
          <w:sz w:val="24"/>
          <w:szCs w:val="24"/>
        </w:rPr>
        <w:t xml:space="preserve"> </w:t>
      </w:r>
    </w:p>
    <w:p w:rsidR="009F1787" w:rsidRPr="001B3811" w:rsidRDefault="009F1787" w:rsidP="009F178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F1787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Organizator nie zapewnia wody pitnej ani posiłków. Zdający mogą przynieść na egzamin własne napoje i przekąski. </w:t>
      </w:r>
    </w:p>
    <w:p w:rsidR="009F1787" w:rsidRDefault="009F1787" w:rsidP="009F1787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:rsidR="009F1787" w:rsidRPr="00E40972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30448E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30448E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30448E">
        <w:rPr>
          <w:rFonts w:ascii="Times New Roman" w:eastAsia="Calibri" w:hAnsi="Times New Roman"/>
          <w:sz w:val="24"/>
          <w:szCs w:val="24"/>
        </w:rPr>
        <w:t>Czekając na wejście do budynku, w którym znajduje się sala egzaminacyjna oraz do sali egzaminacyjnej, zdający zachowują odpowiedni odstęp (</w:t>
      </w:r>
      <w:r w:rsidRPr="0030448E">
        <w:rPr>
          <w:rFonts w:ascii="Times New Roman" w:eastAsia="Calibri" w:hAnsi="Times New Roman"/>
          <w:sz w:val="24"/>
          <w:szCs w:val="24"/>
          <w:u w:val="single"/>
        </w:rPr>
        <w:t>co najmniej</w:t>
      </w:r>
      <w:r w:rsidRPr="0030448E">
        <w:rPr>
          <w:rFonts w:ascii="Times New Roman" w:eastAsia="Calibri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m"/>
        </w:smartTagPr>
        <w:r w:rsidRPr="0030448E">
          <w:rPr>
            <w:rFonts w:ascii="Times New Roman" w:eastAsia="Calibri" w:hAnsi="Times New Roman"/>
            <w:sz w:val="24"/>
            <w:szCs w:val="24"/>
          </w:rPr>
          <w:t>2 m</w:t>
        </w:r>
      </w:smartTag>
      <w:r w:rsidRPr="0030448E">
        <w:rPr>
          <w:rFonts w:ascii="Times New Roman" w:eastAsia="Calibri" w:hAnsi="Times New Roman"/>
          <w:sz w:val="24"/>
          <w:szCs w:val="24"/>
        </w:rPr>
        <w:t xml:space="preserve">) oraz mają zakryte usta i nos </w:t>
      </w:r>
      <w:r w:rsidRPr="00766515">
        <w:rPr>
          <w:rFonts w:ascii="Times New Roman" w:eastAsia="Calibri" w:hAnsi="Times New Roman"/>
          <w:i/>
          <w:iCs/>
          <w:sz w:val="24"/>
          <w:szCs w:val="24"/>
        </w:rPr>
        <w:t xml:space="preserve">– konieczne jest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zatem </w:t>
      </w:r>
      <w:r w:rsidRPr="00766515">
        <w:rPr>
          <w:rFonts w:ascii="Times New Roman" w:eastAsia="Calibri" w:hAnsi="Times New Roman"/>
          <w:i/>
          <w:iCs/>
          <w:sz w:val="24"/>
          <w:szCs w:val="24"/>
        </w:rPr>
        <w:t xml:space="preserve">pouczenie, że organizator nie zapewnia środków ochrony osobistej dla zdających, którzy mają obowiązek zapewnienia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sobie </w:t>
      </w:r>
      <w:r w:rsidRPr="00766515">
        <w:rPr>
          <w:rFonts w:ascii="Times New Roman" w:eastAsia="Calibri" w:hAnsi="Times New Roman"/>
          <w:i/>
          <w:iCs/>
          <w:sz w:val="24"/>
          <w:szCs w:val="24"/>
        </w:rPr>
        <w:t xml:space="preserve">tych środków (maseczek, rękawiczek, ew. przyłbic) na własny użytek we własnym zakresie, stosownie do </w:t>
      </w:r>
      <w:r w:rsidRPr="00766515">
        <w:rPr>
          <w:rStyle w:val="FontStyle13"/>
          <w:rFonts w:ascii="Times New Roman" w:hAnsi="Times New Roman"/>
          <w:i/>
          <w:iCs/>
          <w:sz w:val="24"/>
          <w:szCs w:val="24"/>
        </w:rPr>
        <w:t>powszechnie obowiązujących przepisów prawa w odniesieniu do nakazów obowiązujących w przestrzeni publicznej w pomieszczeniach zamkniętych.</w:t>
      </w:r>
      <w:r>
        <w:rPr>
          <w:rStyle w:val="FontStyle13"/>
          <w:rFonts w:ascii="Times New Roman" w:hAnsi="Times New Roman"/>
          <w:i/>
          <w:iCs/>
          <w:sz w:val="24"/>
          <w:szCs w:val="24"/>
        </w:rPr>
        <w:t xml:space="preserve"> </w:t>
      </w:r>
    </w:p>
    <w:p w:rsidR="009F1787" w:rsidRPr="00766515" w:rsidRDefault="009F1787" w:rsidP="009F178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9F1787" w:rsidRPr="00766515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Na teren obiektu, bezpośrednio przylegający do sali egzaminacyjnej, mogą wejść wyłącznie osoby z zakrytymi ustami i nosem (maseczką jedno - lub wielorazową, materiałem, przyłbicą – w szczególności w przypadku osób, które ze względów zdrowotnych nie mogą zakrywać ust i nosa maseczką). Zakrywanie ust i nosa obowiązuje na terenie całego obiektu, z wyjątkiem </w:t>
      </w:r>
      <w:proofErr w:type="spellStart"/>
      <w:r w:rsidRPr="001B3811">
        <w:rPr>
          <w:rFonts w:ascii="Times New Roman" w:eastAsia="Calibri" w:hAnsi="Times New Roman"/>
          <w:sz w:val="24"/>
          <w:szCs w:val="24"/>
        </w:rPr>
        <w:t>sal</w:t>
      </w:r>
      <w:proofErr w:type="spellEnd"/>
      <w:r w:rsidRPr="001B3811">
        <w:rPr>
          <w:rFonts w:ascii="Times New Roman" w:eastAsia="Calibri" w:hAnsi="Times New Roman"/>
          <w:sz w:val="24"/>
          <w:szCs w:val="24"/>
        </w:rPr>
        <w:t xml:space="preserve"> egzaminacyjnych </w:t>
      </w:r>
      <w:r w:rsidRPr="001B3811">
        <w:rPr>
          <w:rFonts w:ascii="Times New Roman" w:eastAsia="Calibri" w:hAnsi="Times New Roman"/>
          <w:sz w:val="24"/>
          <w:szCs w:val="24"/>
          <w:u w:val="single"/>
        </w:rPr>
        <w:t>po zajęciu miejsc przez zdających</w:t>
      </w:r>
      <w:r w:rsidRPr="001B3811">
        <w:rPr>
          <w:rFonts w:ascii="Times New Roman" w:eastAsia="Calibri" w:hAnsi="Times New Roman"/>
          <w:sz w:val="24"/>
          <w:szCs w:val="24"/>
        </w:rPr>
        <w:t xml:space="preserve">. Podczas wpuszczania zdających do sali egzaminacyjnej członek Komisji </w:t>
      </w:r>
      <w:r w:rsidRPr="001B3811">
        <w:rPr>
          <w:rFonts w:ascii="Times New Roman" w:eastAsia="Calibri" w:hAnsi="Times New Roman"/>
          <w:sz w:val="24"/>
          <w:szCs w:val="24"/>
        </w:rPr>
        <w:lastRenderedPageBreak/>
        <w:t xml:space="preserve">Egzaminacyjnej może poprosić zdającego o chwilowe odsłonięcie twarzy w celu zweryfikowania jego tożsamości (konieczne jest wówczas zachowanie </w:t>
      </w:r>
      <w:r w:rsidRPr="001B3811">
        <w:rPr>
          <w:rFonts w:ascii="Times New Roman" w:eastAsia="Calibri" w:hAnsi="Times New Roman"/>
          <w:sz w:val="24"/>
          <w:szCs w:val="24"/>
          <w:u w:val="single"/>
        </w:rPr>
        <w:t>co najmniej</w:t>
      </w:r>
      <w:r w:rsidRPr="001B3811">
        <w:rPr>
          <w:rFonts w:ascii="Times New Roman" w:eastAsia="Calibri" w:hAnsi="Times New Roman"/>
          <w:sz w:val="24"/>
          <w:szCs w:val="24"/>
        </w:rPr>
        <w:t xml:space="preserve"> 2-metrowego odstępu).</w:t>
      </w:r>
    </w:p>
    <w:p w:rsidR="009F1787" w:rsidRDefault="009F1787" w:rsidP="009F1787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:rsidR="009F1787" w:rsidRPr="001B3811" w:rsidRDefault="009F1787" w:rsidP="009F1787">
      <w:pPr>
        <w:numPr>
          <w:ilvl w:val="1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 xml:space="preserve"> 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1B3811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9F1787" w:rsidRPr="001B3811" w:rsidRDefault="009F1787" w:rsidP="009F17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>podchodzi do niego członek Komisji Egzaminacyjnej/osoba zapewniająca obsługę informatyczną,</w:t>
      </w:r>
    </w:p>
    <w:p w:rsidR="009F1787" w:rsidRPr="001B3811" w:rsidRDefault="009F1787" w:rsidP="009F17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>wychodzi do toalety,</w:t>
      </w:r>
    </w:p>
    <w:p w:rsidR="009F1787" w:rsidRPr="001B3811" w:rsidRDefault="009F1787" w:rsidP="009F17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>korzysta ze stanowiska z systemem informacji prawnej lub drukarki,</w:t>
      </w:r>
    </w:p>
    <w:p w:rsidR="009F1787" w:rsidRDefault="009F1787" w:rsidP="009F17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>oddaje zadanie i pracę zawierającą rozwiązanie zadania i wychodzi z sali egzaminacyjnej.</w:t>
      </w:r>
    </w:p>
    <w:p w:rsidR="009F1787" w:rsidRPr="001B3811" w:rsidRDefault="009F1787" w:rsidP="009F1787">
      <w:pPr>
        <w:spacing w:after="0" w:line="360" w:lineRule="auto"/>
        <w:ind w:left="96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F1787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29B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 xml:space="preserve"> </w:t>
      </w:r>
      <w:bookmarkStart w:id="2" w:name="_Hlk41572504"/>
      <w:r w:rsidRPr="004729B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4729B5">
        <w:rPr>
          <w:rFonts w:ascii="Times New Roman" w:eastAsia="Calibri" w:hAnsi="Times New Roman"/>
          <w:color w:val="0000CC"/>
          <w:sz w:val="24"/>
          <w:szCs w:val="24"/>
        </w:rPr>
        <w:t xml:space="preserve">  </w:t>
      </w:r>
      <w:r w:rsidRPr="004729B5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4729B5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4729B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bookmarkEnd w:id="2"/>
      <w:r w:rsidRPr="004729B5">
        <w:rPr>
          <w:rFonts w:ascii="Times New Roman" w:eastAsia="Calibri" w:hAnsi="Times New Roman"/>
          <w:sz w:val="24"/>
          <w:szCs w:val="24"/>
        </w:rPr>
        <w:t xml:space="preserve">Zdający – jeżeli uznają to za właściwe – </w:t>
      </w:r>
      <w:r>
        <w:rPr>
          <w:rFonts w:ascii="Times New Roman" w:eastAsia="Calibri" w:hAnsi="Times New Roman"/>
          <w:sz w:val="24"/>
          <w:szCs w:val="24"/>
        </w:rPr>
        <w:t xml:space="preserve">mogą </w:t>
      </w:r>
      <w:r w:rsidRPr="004729B5">
        <w:rPr>
          <w:rFonts w:ascii="Times New Roman" w:eastAsia="Calibri" w:hAnsi="Times New Roman"/>
          <w:sz w:val="24"/>
          <w:szCs w:val="24"/>
        </w:rPr>
        <w:t xml:space="preserve">mieć zakryte usta i nos w trakcie egzaminu, nawet po zajęciu miejsca przy stoliku. </w:t>
      </w:r>
    </w:p>
    <w:p w:rsidR="009F1787" w:rsidRDefault="009F1787" w:rsidP="009F1787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9F1787" w:rsidRPr="00766515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4729B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>
        <w:rPr>
          <w:rFonts w:ascii="Times New Roman" w:eastAsia="Calibri" w:hAnsi="Times New Roman"/>
          <w:color w:val="0000CC"/>
          <w:sz w:val="24"/>
          <w:szCs w:val="24"/>
        </w:rPr>
        <w:t xml:space="preserve"> Z</w:t>
      </w:r>
      <w:r w:rsidRPr="004729B5">
        <w:rPr>
          <w:rFonts w:ascii="Times New Roman" w:eastAsia="Calibri" w:hAnsi="Times New Roman"/>
          <w:sz w:val="24"/>
          <w:szCs w:val="24"/>
        </w:rPr>
        <w:t xml:space="preserve">dający, którzy ze względów zdrowotnych nie mogą zakrywać ust i nosa za pomocą maseczki, powinni – kiedy jest to konieczne – używać przyłbicy, która nie utrudnia oddychania, przy czym warunkiem </w:t>
      </w:r>
      <w:r>
        <w:rPr>
          <w:rFonts w:ascii="Times New Roman" w:eastAsia="Calibri" w:hAnsi="Times New Roman"/>
          <w:sz w:val="24"/>
          <w:szCs w:val="24"/>
        </w:rPr>
        <w:t xml:space="preserve">jest </w:t>
      </w:r>
      <w:r w:rsidRPr="004729B5">
        <w:rPr>
          <w:rFonts w:ascii="Times New Roman" w:eastAsia="Calibri" w:hAnsi="Times New Roman"/>
          <w:sz w:val="24"/>
          <w:szCs w:val="24"/>
        </w:rPr>
        <w:t>przedłożeni</w:t>
      </w:r>
      <w:r>
        <w:rPr>
          <w:rFonts w:ascii="Times New Roman" w:eastAsia="Calibri" w:hAnsi="Times New Roman"/>
          <w:sz w:val="24"/>
          <w:szCs w:val="24"/>
        </w:rPr>
        <w:t>e</w:t>
      </w:r>
      <w:r w:rsidRPr="004729B5">
        <w:rPr>
          <w:rFonts w:ascii="Times New Roman" w:eastAsia="Calibri" w:hAnsi="Times New Roman"/>
          <w:sz w:val="24"/>
          <w:szCs w:val="24"/>
        </w:rPr>
        <w:t xml:space="preserve"> zaświadczenia lekarskiego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Pr="00766515">
        <w:rPr>
          <w:rFonts w:ascii="Times New Roman" w:eastAsia="Calibri" w:hAnsi="Times New Roman"/>
          <w:i/>
          <w:iCs/>
          <w:sz w:val="24"/>
          <w:szCs w:val="24"/>
        </w:rPr>
        <w:t xml:space="preserve">konieczne jest zatem pouczenie zdających, że przedłożenie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stosownego </w:t>
      </w:r>
      <w:r w:rsidRPr="00766515">
        <w:rPr>
          <w:rFonts w:ascii="Times New Roman" w:eastAsia="Calibri" w:hAnsi="Times New Roman"/>
          <w:i/>
          <w:iCs/>
          <w:sz w:val="24"/>
          <w:szCs w:val="24"/>
        </w:rPr>
        <w:t>zaświadczenia lekarskiego winno nastąpić najpóźniej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66515">
        <w:rPr>
          <w:rFonts w:ascii="Times New Roman" w:eastAsia="Calibri" w:hAnsi="Times New Roman"/>
          <w:i/>
          <w:iCs/>
          <w:sz w:val="24"/>
          <w:szCs w:val="24"/>
        </w:rPr>
        <w:t xml:space="preserve"> w chwili rejestracji.</w:t>
      </w:r>
    </w:p>
    <w:p w:rsidR="009F1787" w:rsidRPr="004729B5" w:rsidRDefault="009F1787" w:rsidP="009F1787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:rsidR="009F1787" w:rsidRPr="004729B5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29B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 xml:space="preserve"> [*]</w:t>
      </w:r>
      <w:r w:rsidRPr="004729B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4729B5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4729B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4729B5">
        <w:rPr>
          <w:rFonts w:ascii="Times New Roman" w:eastAsia="Calibri" w:hAnsi="Times New Roman"/>
          <w:sz w:val="24"/>
          <w:szCs w:val="24"/>
        </w:rPr>
        <w:t xml:space="preserve">Przy wejściu na salę egzaminacyjną, przy stanowiskach z systemem informacji prawnej oraz przy toaletach </w:t>
      </w:r>
      <w:r>
        <w:rPr>
          <w:rFonts w:ascii="Times New Roman" w:eastAsia="Calibri" w:hAnsi="Times New Roman"/>
          <w:sz w:val="24"/>
          <w:szCs w:val="24"/>
        </w:rPr>
        <w:t>zostanie udostępniony</w:t>
      </w:r>
      <w:r w:rsidRPr="004729B5">
        <w:rPr>
          <w:rFonts w:ascii="Times New Roman" w:eastAsia="Calibri" w:hAnsi="Times New Roman"/>
          <w:sz w:val="24"/>
          <w:szCs w:val="24"/>
        </w:rPr>
        <w:t xml:space="preserve"> płyn do dezynfekcji rąk (środek na bazie alkoholu, min. 60%) </w:t>
      </w:r>
      <w:r>
        <w:rPr>
          <w:rFonts w:ascii="Times New Roman" w:eastAsia="Calibri" w:hAnsi="Times New Roman"/>
          <w:sz w:val="24"/>
          <w:szCs w:val="24"/>
        </w:rPr>
        <w:t xml:space="preserve">wraz z </w:t>
      </w:r>
      <w:r w:rsidRPr="004729B5">
        <w:rPr>
          <w:rFonts w:ascii="Times New Roman" w:eastAsia="Calibri" w:hAnsi="Times New Roman"/>
          <w:sz w:val="24"/>
          <w:szCs w:val="24"/>
        </w:rPr>
        <w:t>informacj</w:t>
      </w:r>
      <w:r>
        <w:rPr>
          <w:rFonts w:ascii="Times New Roman" w:eastAsia="Calibri" w:hAnsi="Times New Roman"/>
          <w:sz w:val="24"/>
          <w:szCs w:val="24"/>
        </w:rPr>
        <w:t xml:space="preserve">ą </w:t>
      </w:r>
      <w:r w:rsidRPr="004729B5">
        <w:rPr>
          <w:rFonts w:ascii="Times New Roman" w:eastAsia="Calibri" w:hAnsi="Times New Roman"/>
          <w:sz w:val="24"/>
          <w:szCs w:val="24"/>
        </w:rPr>
        <w:t>o obligatoryjnym korzystaniu z niego przez wszystkie osoby wchodzące na teren sali egzaminacyjnej/korzystające z systemu informacji prawnej/korzystające z toalet</w:t>
      </w:r>
      <w:r w:rsidRPr="004729B5">
        <w:rPr>
          <w:rFonts w:ascii="Times New Roman" w:eastAsia="Calibri" w:hAnsi="Times New Roman"/>
          <w:b/>
          <w:bCs/>
          <w:sz w:val="24"/>
          <w:szCs w:val="24"/>
        </w:rPr>
        <w:t xml:space="preserve">. </w:t>
      </w:r>
    </w:p>
    <w:p w:rsidR="009F1787" w:rsidRPr="004729B5" w:rsidRDefault="009F1787" w:rsidP="009F1787">
      <w:pPr>
        <w:pStyle w:val="Akapitzlist"/>
        <w:rPr>
          <w:rFonts w:ascii="Times New Roman" w:eastAsia="Calibri" w:hAnsi="Times New Roman"/>
          <w:color w:val="0000CC"/>
          <w:sz w:val="24"/>
          <w:szCs w:val="24"/>
          <w:highlight w:val="yellow"/>
        </w:rPr>
      </w:pPr>
    </w:p>
    <w:p w:rsidR="009F1787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1B3811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 xml:space="preserve">W przypadku przeznaczonych do wspólnego korzystania stanowisk z systemem informacji prawnej oraz drukarek, obok tych urządzeń </w:t>
      </w:r>
      <w:r>
        <w:rPr>
          <w:rFonts w:ascii="Times New Roman" w:eastAsia="Calibri" w:hAnsi="Times New Roman"/>
          <w:sz w:val="24"/>
          <w:szCs w:val="24"/>
        </w:rPr>
        <w:t>zostanie udostępniony</w:t>
      </w:r>
      <w:r w:rsidRPr="001B3811">
        <w:rPr>
          <w:rFonts w:ascii="Times New Roman" w:eastAsia="Calibri" w:hAnsi="Times New Roman"/>
          <w:sz w:val="24"/>
          <w:szCs w:val="24"/>
        </w:rPr>
        <w:t xml:space="preserve"> dozownik z płynem dezynfekcyjnym, jednorazowe ręczniki papierowe oraz pojemnik na zużyte ręczniki. Każdy ze zdających korzystających z tych urządzeń ma obowiązek dezynfekcji wszystkich powierzchni, których dotyka, szczególnie klawiatury, myszki oraz blatu - </w:t>
      </w:r>
      <w:r w:rsidRPr="001B3811">
        <w:rPr>
          <w:rFonts w:ascii="Times New Roman" w:eastAsia="Calibri" w:hAnsi="Times New Roman"/>
          <w:sz w:val="24"/>
          <w:szCs w:val="24"/>
        </w:rPr>
        <w:lastRenderedPageBreak/>
        <w:t xml:space="preserve">zarówno przed, jak i po skorzystaniu z urządzeń. Czynności te </w:t>
      </w:r>
      <w:r>
        <w:rPr>
          <w:rFonts w:ascii="Times New Roman" w:eastAsia="Calibri" w:hAnsi="Times New Roman"/>
          <w:sz w:val="24"/>
          <w:szCs w:val="24"/>
        </w:rPr>
        <w:t xml:space="preserve">będą </w:t>
      </w:r>
      <w:r w:rsidRPr="001B3811">
        <w:rPr>
          <w:rFonts w:ascii="Times New Roman" w:eastAsia="Calibri" w:hAnsi="Times New Roman"/>
          <w:sz w:val="24"/>
          <w:szCs w:val="24"/>
        </w:rPr>
        <w:t>monitorowan</w:t>
      </w:r>
      <w:r>
        <w:rPr>
          <w:rFonts w:ascii="Times New Roman" w:eastAsia="Calibri" w:hAnsi="Times New Roman"/>
          <w:sz w:val="24"/>
          <w:szCs w:val="24"/>
        </w:rPr>
        <w:t>e</w:t>
      </w:r>
      <w:r w:rsidRPr="001B3811">
        <w:rPr>
          <w:rFonts w:ascii="Times New Roman" w:eastAsia="Calibri" w:hAnsi="Times New Roman"/>
          <w:sz w:val="24"/>
          <w:szCs w:val="24"/>
        </w:rPr>
        <w:t xml:space="preserve"> przez członków Komisji Egzaminacyjnej.</w:t>
      </w:r>
    </w:p>
    <w:p w:rsidR="009F1787" w:rsidRPr="00A17925" w:rsidRDefault="009F1787" w:rsidP="009F1787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:rsidR="009F1787" w:rsidRPr="00766515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7925">
        <w:rPr>
          <w:rFonts w:ascii="Times New Roman" w:eastAsia="Calibri" w:hAnsi="Times New Roman"/>
          <w:sz w:val="24"/>
          <w:szCs w:val="24"/>
          <w:highlight w:val="yellow"/>
        </w:rPr>
        <w:t xml:space="preserve"> [*]</w:t>
      </w:r>
      <w:r w:rsidRPr="00A17925">
        <w:rPr>
          <w:rFonts w:ascii="Times New Roman" w:eastAsia="Calibri" w:hAnsi="Times New Roman"/>
          <w:sz w:val="24"/>
          <w:szCs w:val="24"/>
        </w:rPr>
        <w:t xml:space="preserve"> Należy unikać tworzenia się grup zdających przed obiektem, w którym przeprowadzany jest egzamin oraz bezpośrednio przed salą egzaminacyjną przed rozpoczęciem egzaminu oraz po jego zakończeniu. </w:t>
      </w:r>
    </w:p>
    <w:p w:rsidR="009F1787" w:rsidRPr="001B3811" w:rsidRDefault="009F1787" w:rsidP="009F178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>W tym celu Przewodniczący Komisji Egzaminacyjnej może na przykład:</w:t>
      </w:r>
    </w:p>
    <w:p w:rsidR="009F1787" w:rsidRPr="001B3811" w:rsidRDefault="009F1787" w:rsidP="009F17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 xml:space="preserve">ustalić harmonogram rejestracji zdających podzielonych na mniejsze, np. 10-15 osobowe grupy w określonych odstępach czasu, np. 15-minutowych, </w:t>
      </w:r>
    </w:p>
    <w:p w:rsidR="009F1787" w:rsidRPr="001B3811" w:rsidRDefault="009F1787" w:rsidP="009F17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>wyznaczyć oddzielne dla każdej Komisji Egzaminacyjnej miejsce rejestracji i wejścia na salę egzaminacyjną,</w:t>
      </w:r>
    </w:p>
    <w:p w:rsidR="009F1787" w:rsidRPr="008520A8" w:rsidRDefault="009F1787" w:rsidP="009F17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B3811">
        <w:rPr>
          <w:rFonts w:ascii="Times New Roman" w:eastAsia="Calibri" w:hAnsi="Times New Roman"/>
          <w:sz w:val="24"/>
          <w:szCs w:val="24"/>
        </w:rPr>
        <w:t xml:space="preserve">wypuszczać zdających z </w:t>
      </w:r>
      <w:proofErr w:type="spellStart"/>
      <w:r w:rsidRPr="001B3811">
        <w:rPr>
          <w:rFonts w:ascii="Times New Roman" w:eastAsia="Calibri" w:hAnsi="Times New Roman"/>
          <w:sz w:val="24"/>
          <w:szCs w:val="24"/>
        </w:rPr>
        <w:t>sal</w:t>
      </w:r>
      <w:proofErr w:type="spellEnd"/>
      <w:r w:rsidRPr="001B3811">
        <w:rPr>
          <w:rFonts w:ascii="Times New Roman" w:eastAsia="Calibri" w:hAnsi="Times New Roman"/>
          <w:sz w:val="24"/>
          <w:szCs w:val="24"/>
        </w:rPr>
        <w:t xml:space="preserve"> po egzaminie według ściśle określonej procedury – np. wg kolejności oddawania prac</w:t>
      </w:r>
      <w:r w:rsidRPr="001B3811">
        <w:rPr>
          <w:rFonts w:ascii="Times New Roman" w:eastAsia="Calibri" w:hAnsi="Times New Roman"/>
          <w:i/>
          <w:sz w:val="24"/>
          <w:szCs w:val="24"/>
        </w:rPr>
        <w:t>,</w:t>
      </w:r>
      <w:r w:rsidRPr="001B3811">
        <w:rPr>
          <w:rFonts w:ascii="Times New Roman" w:eastAsia="Calibri" w:hAnsi="Times New Roman"/>
          <w:sz w:val="24"/>
          <w:szCs w:val="24"/>
        </w:rPr>
        <w:t xml:space="preserve"> upewniając się, że zdający nie gromadzą się pod budynkiem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F1787" w:rsidRPr="008520A8" w:rsidRDefault="009F1787" w:rsidP="009F1787">
      <w:pPr>
        <w:spacing w:after="0" w:line="360" w:lineRule="auto"/>
        <w:ind w:left="964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8520A8">
        <w:rPr>
          <w:rFonts w:ascii="Times New Roman" w:eastAsia="Calibri" w:hAnsi="Times New Roman"/>
          <w:i/>
          <w:iCs/>
          <w:sz w:val="24"/>
          <w:szCs w:val="24"/>
        </w:rPr>
        <w:t xml:space="preserve">– konieczne jest zatem opracowanie szczegółowego harmonogramu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rejestracji </w:t>
      </w:r>
      <w:r w:rsidRPr="008520A8">
        <w:rPr>
          <w:rFonts w:ascii="Times New Roman" w:eastAsia="Calibri" w:hAnsi="Times New Roman"/>
          <w:i/>
          <w:iCs/>
          <w:sz w:val="24"/>
          <w:szCs w:val="24"/>
        </w:rPr>
        <w:t>zdających np. wg kolejności alfabetycznej nazwisk ze wskazaniem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przedziału godzinowego i minutowego (np. 9.00-9.15) rejestracji dla danej grupy</w:t>
      </w:r>
      <w:r w:rsidRPr="008520A8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iCs/>
          <w:sz w:val="24"/>
          <w:szCs w:val="24"/>
        </w:rPr>
        <w:t>oraz dokładne wskazanie miejsca rejestracji i miejsc parkingowych (o ile możliwe jest ich zapewnienie) – wydzielonych odrębnie dla każdej z komisji.</w:t>
      </w:r>
    </w:p>
    <w:p w:rsidR="009F1787" w:rsidRPr="008520A8" w:rsidRDefault="009F1787" w:rsidP="009F178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9F1787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3" w:name="_Hlk40872892"/>
      <w:r w:rsidRPr="00A1792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A1792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bookmarkEnd w:id="3"/>
      <w:r w:rsidRPr="00A17925">
        <w:rPr>
          <w:rFonts w:ascii="Times New Roman" w:eastAsia="Calibri" w:hAnsi="Times New Roman"/>
          <w:sz w:val="24"/>
          <w:szCs w:val="24"/>
        </w:rPr>
        <w:t>Zdający potwierdzają swoją obecność na egzaminie, podpisując się na liście obecności, korzystając z własnego długopisu.</w:t>
      </w:r>
    </w:p>
    <w:p w:rsidR="009F1787" w:rsidRDefault="009F1787" w:rsidP="009F1787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9F1787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792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A1792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A17925">
        <w:rPr>
          <w:rFonts w:ascii="Times New Roman" w:eastAsia="Calibri" w:hAnsi="Times New Roman"/>
          <w:sz w:val="24"/>
          <w:szCs w:val="24"/>
        </w:rPr>
        <w:t xml:space="preserve">Podczas rejestracji zdający okazuje dokument tożsamości ze zdjęciem w sposób umożliwiający jego odczytanie, bez kontaktu dotykowego z dokumentem osoby rejestrującej. </w:t>
      </w:r>
    </w:p>
    <w:p w:rsidR="009F1787" w:rsidRPr="00A17925" w:rsidRDefault="009F1787" w:rsidP="009F1787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:rsidR="009F1787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792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A1792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A17925">
        <w:rPr>
          <w:rFonts w:ascii="Times New Roman" w:eastAsia="Calibri" w:hAnsi="Times New Roman"/>
          <w:sz w:val="24"/>
          <w:szCs w:val="24"/>
        </w:rPr>
        <w:t xml:space="preserve">Zdający wchodzą na salę egzaminacyjną pojedynczo, przy zachowaniu dystansu co najmniej 2 m od innych osób, po obligatoryjnej dezynfekcji rąk, która poprzedza pozostałe czynności przygotowawcze (np. losowanie numeru stolika, losowanie koperty z numerem kodu, </w:t>
      </w:r>
      <w:proofErr w:type="spellStart"/>
      <w:r w:rsidRPr="00A17925">
        <w:rPr>
          <w:rFonts w:ascii="Times New Roman" w:eastAsia="Calibri" w:hAnsi="Times New Roman"/>
          <w:sz w:val="24"/>
          <w:szCs w:val="24"/>
        </w:rPr>
        <w:t>itp</w:t>
      </w:r>
      <w:proofErr w:type="spellEnd"/>
      <w:r w:rsidRPr="00A17925">
        <w:rPr>
          <w:rFonts w:ascii="Times New Roman" w:eastAsia="Calibri" w:hAnsi="Times New Roman"/>
          <w:sz w:val="24"/>
          <w:szCs w:val="24"/>
        </w:rPr>
        <w:t>).</w:t>
      </w:r>
    </w:p>
    <w:p w:rsidR="009F1787" w:rsidRPr="00A17925" w:rsidRDefault="009F1787" w:rsidP="009F1787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:rsidR="009F1787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7925">
        <w:rPr>
          <w:rFonts w:ascii="Times New Roman" w:eastAsia="Calibri" w:hAnsi="Times New Roman"/>
          <w:sz w:val="24"/>
          <w:szCs w:val="24"/>
        </w:rPr>
        <w:t xml:space="preserve"> </w:t>
      </w:r>
      <w:r w:rsidRPr="00A1792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r w:rsidRPr="00A17925">
        <w:rPr>
          <w:rFonts w:ascii="Times New Roman" w:eastAsia="Calibri" w:hAnsi="Times New Roman"/>
          <w:sz w:val="24"/>
          <w:szCs w:val="24"/>
        </w:rPr>
        <w:t xml:space="preserve"> </w:t>
      </w:r>
      <w:r w:rsidRPr="00A17925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A17925">
        <w:rPr>
          <w:rFonts w:ascii="Times New Roman" w:eastAsia="Calibri" w:hAnsi="Times New Roman"/>
          <w:sz w:val="24"/>
          <w:szCs w:val="24"/>
        </w:rPr>
        <w:t xml:space="preserve"> Losowania numeru stolika dokonuje się tylko jednorazowo - w pierwszym dniu egzaminu. W pozostałych dniach egzaminu zdający zajmuje to samo miejsce. </w:t>
      </w:r>
    </w:p>
    <w:p w:rsidR="009F1787" w:rsidRPr="00A17925" w:rsidRDefault="009F1787" w:rsidP="009F1787">
      <w:pPr>
        <w:pStyle w:val="Akapitzlist"/>
        <w:rPr>
          <w:rFonts w:ascii="Times New Roman" w:eastAsia="Calibri" w:hAnsi="Times New Roman"/>
          <w:sz w:val="24"/>
          <w:szCs w:val="24"/>
        </w:rPr>
      </w:pPr>
    </w:p>
    <w:p w:rsidR="009F1787" w:rsidRPr="00A17925" w:rsidRDefault="009F1787" w:rsidP="009F178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4" w:name="_Hlk41398202"/>
      <w:r w:rsidRPr="00A17925">
        <w:rPr>
          <w:rFonts w:ascii="Times New Roman" w:eastAsia="Calibri" w:hAnsi="Times New Roman"/>
          <w:color w:val="0000CC"/>
          <w:sz w:val="24"/>
          <w:szCs w:val="24"/>
          <w:highlight w:val="yellow"/>
        </w:rPr>
        <w:t>[*]</w:t>
      </w:r>
      <w:bookmarkEnd w:id="4"/>
      <w:r w:rsidRPr="00A1792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A17925">
        <w:rPr>
          <w:rFonts w:ascii="Times New Roman" w:eastAsia="Calibri" w:hAnsi="Times New Roman"/>
          <w:color w:val="FF0000"/>
          <w:sz w:val="24"/>
          <w:szCs w:val="24"/>
          <w:highlight w:val="yellow"/>
        </w:rPr>
        <w:t>[!]</w:t>
      </w:r>
      <w:r w:rsidRPr="00A17925">
        <w:rPr>
          <w:rFonts w:ascii="Times New Roman" w:eastAsia="Calibri" w:hAnsi="Times New Roman"/>
          <w:color w:val="0000CC"/>
          <w:sz w:val="24"/>
          <w:szCs w:val="24"/>
        </w:rPr>
        <w:t xml:space="preserve"> </w:t>
      </w:r>
      <w:r w:rsidRPr="00A17925">
        <w:rPr>
          <w:rFonts w:ascii="Times New Roman" w:eastAsia="Calibri" w:hAnsi="Times New Roman"/>
          <w:sz w:val="24"/>
          <w:szCs w:val="24"/>
        </w:rPr>
        <w:t>Po zakończeniu czasu rozwiązywania zadań zdający drukuje pracę zgodnie z harmonogramem ustalonym przez Przewodniczącego Komisji Egzaminacyjnej (np. według kolejności zajmowanych stolików) i oddaje zadanie wraz z pracą zawierającą rozwiązanie zadania członkowi Komisji Egzaminacyjnej przy zachowaniu dystansu co najmniej 2 m od innych zdających. W tym czasie pozostali zdający pozostają nadal przy swoich stolikach i czekają na zwolnienie miejsca przy stanowisku komputerowym</w:t>
      </w: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A17925">
        <w:rPr>
          <w:rFonts w:ascii="Times New Roman" w:eastAsia="Calibri" w:hAnsi="Times New Roman"/>
          <w:sz w:val="24"/>
          <w:szCs w:val="24"/>
        </w:rPr>
        <w:t xml:space="preserve"> z drukarką.</w:t>
      </w:r>
    </w:p>
    <w:p w:rsidR="009F1787" w:rsidRDefault="009F1787" w:rsidP="00BC1882">
      <w:pPr>
        <w:spacing w:after="0" w:line="360" w:lineRule="auto"/>
        <w:ind w:firstLine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5" w:name="_GoBack"/>
      <w:bookmarkEnd w:id="5"/>
      <w:r>
        <w:rPr>
          <w:rFonts w:ascii="Times New Roman" w:eastAsia="Calibri" w:hAnsi="Times New Roman"/>
          <w:sz w:val="24"/>
          <w:szCs w:val="24"/>
        </w:rPr>
        <w:t xml:space="preserve">Osoby, </w:t>
      </w:r>
      <w:r w:rsidRPr="008D676C">
        <w:rPr>
          <w:rFonts w:ascii="Times New Roman" w:eastAsia="Calibri" w:hAnsi="Times New Roman"/>
          <w:sz w:val="24"/>
          <w:szCs w:val="24"/>
        </w:rPr>
        <w:t>chorując</w:t>
      </w:r>
      <w:r>
        <w:rPr>
          <w:rFonts w:ascii="Times New Roman" w:eastAsia="Calibri" w:hAnsi="Times New Roman"/>
          <w:sz w:val="24"/>
          <w:szCs w:val="24"/>
        </w:rPr>
        <w:t xml:space="preserve">e </w:t>
      </w:r>
      <w:r w:rsidRPr="008D676C">
        <w:rPr>
          <w:rFonts w:ascii="Times New Roman" w:eastAsia="Calibri" w:hAnsi="Times New Roman"/>
          <w:sz w:val="24"/>
          <w:szCs w:val="24"/>
        </w:rPr>
        <w:t xml:space="preserve">na alergię lub inne schorzenia, o których mowa w pkt 4.1 wytycznych GIS, </w:t>
      </w:r>
      <w:r>
        <w:rPr>
          <w:rFonts w:ascii="Times New Roman" w:eastAsia="Calibri" w:hAnsi="Times New Roman"/>
          <w:sz w:val="24"/>
          <w:szCs w:val="24"/>
        </w:rPr>
        <w:t xml:space="preserve">mają 14 dni od dnia publikacji tej informacji, </w:t>
      </w:r>
      <w:r w:rsidRPr="008D676C">
        <w:rPr>
          <w:rFonts w:ascii="Times New Roman" w:eastAsia="Calibri" w:hAnsi="Times New Roman"/>
          <w:sz w:val="24"/>
          <w:szCs w:val="24"/>
        </w:rPr>
        <w:t>na przedstawienie stosown</w:t>
      </w:r>
      <w:r>
        <w:rPr>
          <w:rFonts w:ascii="Times New Roman" w:eastAsia="Calibri" w:hAnsi="Times New Roman"/>
          <w:sz w:val="24"/>
          <w:szCs w:val="24"/>
        </w:rPr>
        <w:t>ego</w:t>
      </w:r>
      <w:r w:rsidRPr="008D676C">
        <w:rPr>
          <w:rFonts w:ascii="Times New Roman" w:eastAsia="Calibri" w:hAnsi="Times New Roman"/>
          <w:sz w:val="24"/>
          <w:szCs w:val="24"/>
        </w:rPr>
        <w:t xml:space="preserve"> zaświadcze</w:t>
      </w:r>
      <w:r>
        <w:rPr>
          <w:rFonts w:ascii="Times New Roman" w:eastAsia="Calibri" w:hAnsi="Times New Roman"/>
          <w:sz w:val="24"/>
          <w:szCs w:val="24"/>
        </w:rPr>
        <w:t>nia</w:t>
      </w:r>
      <w:r w:rsidRPr="008D676C">
        <w:rPr>
          <w:rFonts w:ascii="Times New Roman" w:eastAsia="Calibri" w:hAnsi="Times New Roman"/>
          <w:sz w:val="24"/>
          <w:szCs w:val="24"/>
        </w:rPr>
        <w:t xml:space="preserve"> lekarski</w:t>
      </w:r>
      <w:r>
        <w:rPr>
          <w:rFonts w:ascii="Times New Roman" w:eastAsia="Calibri" w:hAnsi="Times New Roman"/>
          <w:sz w:val="24"/>
          <w:szCs w:val="24"/>
        </w:rPr>
        <w:t>ego</w:t>
      </w:r>
      <w:r w:rsidRPr="008D676C">
        <w:rPr>
          <w:rFonts w:ascii="Times New Roman" w:eastAsia="Calibri" w:hAnsi="Times New Roman"/>
          <w:sz w:val="24"/>
          <w:szCs w:val="24"/>
        </w:rPr>
        <w:t>.</w:t>
      </w:r>
    </w:p>
    <w:p w:rsidR="009F1787" w:rsidRPr="008D676C" w:rsidRDefault="009F1787" w:rsidP="009F178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9F1787" w:rsidRPr="001060D6" w:rsidRDefault="009F1787" w:rsidP="009F1787">
      <w:pPr>
        <w:spacing w:after="0" w:line="360" w:lineRule="auto"/>
        <w:ind w:firstLine="708"/>
        <w:contextualSpacing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Podkreślamy</w:t>
      </w:r>
      <w:r>
        <w:rPr>
          <w:rFonts w:ascii="Times New Roman" w:eastAsia="Calibri" w:hAnsi="Times New Roman"/>
          <w:sz w:val="24"/>
          <w:szCs w:val="24"/>
        </w:rPr>
        <w:t>, że wytyczne GIS zostały opracowane wg zaleceń aktualnych z uwagi na obecny stan epidemiczny. Do egzaminu pozostał jeszcze miesiąc</w:t>
      </w:r>
      <w:r w:rsidRPr="00B803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trzeba się zatem liczyć z tym, </w:t>
      </w:r>
      <w:r>
        <w:rPr>
          <w:rFonts w:ascii="Times New Roman" w:eastAsia="Calibri" w:hAnsi="Times New Roman"/>
          <w:sz w:val="24"/>
          <w:szCs w:val="24"/>
        </w:rPr>
        <w:t xml:space="preserve">że do tego czasu zalecenia te zostaną zmienione, zwłaszcza w kierunku łagodzenia rygorów, choć nie sposób wykluczyć obostrzeń. O jakichkolwiek zmianach zostaną Państwo przez tut. Departament niezwłocznie powiadomieni, proszę jednak o śledzenie również we własnym zakresie </w:t>
      </w:r>
      <w:r w:rsidRPr="001B3811">
        <w:rPr>
          <w:rFonts w:ascii="Times New Roman" w:eastAsia="Calibri" w:hAnsi="Times New Roman"/>
          <w:sz w:val="24"/>
          <w:szCs w:val="24"/>
        </w:rPr>
        <w:t>informacji Głównego Inspektora Sanitarnego (</w:t>
      </w:r>
      <w:hyperlink r:id="rId6" w:history="1">
        <w:r w:rsidRPr="001B3811">
          <w:rPr>
            <w:rFonts w:ascii="Times New Roman" w:eastAsia="Calibri" w:hAnsi="Times New Roman"/>
            <w:sz w:val="24"/>
            <w:szCs w:val="24"/>
            <w:u w:val="single"/>
          </w:rPr>
          <w:t>www.gis.gov.pl</w:t>
        </w:r>
      </w:hyperlink>
      <w:r w:rsidRPr="001B3811">
        <w:rPr>
          <w:rFonts w:ascii="Times New Roman" w:eastAsia="Calibri" w:hAnsi="Times New Roman"/>
          <w:sz w:val="24"/>
          <w:szCs w:val="24"/>
        </w:rPr>
        <w:t>)</w:t>
      </w:r>
      <w:r w:rsidRPr="001060D6">
        <w:rPr>
          <w:rFonts w:ascii="Times New Roman" w:eastAsia="Calibri" w:hAnsi="Times New Roman"/>
          <w:sz w:val="24"/>
          <w:szCs w:val="24"/>
        </w:rPr>
        <w:t>,</w:t>
      </w:r>
      <w:r w:rsidRPr="001B3811">
        <w:rPr>
          <w:rFonts w:ascii="Times New Roman" w:eastAsia="Calibri" w:hAnsi="Times New Roman"/>
          <w:sz w:val="24"/>
          <w:szCs w:val="24"/>
        </w:rPr>
        <w:t xml:space="preserve"> Ministra Zdrowia (</w:t>
      </w:r>
      <w:hyperlink r:id="rId7" w:history="1">
        <w:r w:rsidRPr="001B3811">
          <w:rPr>
            <w:rFonts w:ascii="Times New Roman" w:eastAsia="Calibri" w:hAnsi="Times New Roman"/>
            <w:sz w:val="24"/>
            <w:szCs w:val="24"/>
            <w:u w:val="single"/>
          </w:rPr>
          <w:t>www.gov.pl/web/koronawirus</w:t>
        </w:r>
      </w:hyperlink>
      <w:r w:rsidRPr="001B3811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1060D6">
        <w:rPr>
          <w:rFonts w:ascii="Times New Roman" w:eastAsia="Calibri" w:hAnsi="Times New Roman"/>
          <w:sz w:val="24"/>
          <w:szCs w:val="24"/>
        </w:rPr>
        <w:t>Ministerstwa Sprawiedliwości</w:t>
      </w:r>
      <w:r>
        <w:t xml:space="preserve"> </w:t>
      </w:r>
      <w:hyperlink r:id="rId8" w:history="1">
        <w:r w:rsidRPr="001060D6">
          <w:rPr>
            <w:rStyle w:val="Hipercze"/>
          </w:rPr>
          <w:t>https://www.gov.pl/web/sprawiedliwosc/ogloszenia-i-komunikaty2</w:t>
        </w:r>
      </w:hyperlink>
      <w:r w:rsidRPr="001060D6">
        <w:t>),</w:t>
      </w:r>
      <w:r w:rsidRPr="001060D6">
        <w:rPr>
          <w:rFonts w:ascii="Times New Roman" w:eastAsia="Calibri" w:hAnsi="Times New Roman"/>
          <w:sz w:val="24"/>
          <w:szCs w:val="24"/>
        </w:rPr>
        <w:t xml:space="preserve"> </w:t>
      </w:r>
      <w:r w:rsidRPr="001B3811">
        <w:rPr>
          <w:rFonts w:ascii="Times New Roman" w:eastAsia="Calibri" w:hAnsi="Times New Roman"/>
          <w:sz w:val="24"/>
          <w:szCs w:val="24"/>
        </w:rPr>
        <w:t>a także obowiązujących przepisów prawa</w:t>
      </w:r>
      <w:r w:rsidRPr="001060D6">
        <w:rPr>
          <w:rFonts w:ascii="Times New Roman" w:eastAsia="Calibri" w:hAnsi="Times New Roman"/>
          <w:sz w:val="24"/>
          <w:szCs w:val="24"/>
        </w:rPr>
        <w:t>.</w:t>
      </w:r>
    </w:p>
    <w:p w:rsidR="009F1787" w:rsidRDefault="009F1787" w:rsidP="009F1787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EB0046" w:rsidRDefault="00356CC1"/>
    <w:sectPr w:rsidR="00EB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E16846"/>
    <w:multiLevelType w:val="multilevel"/>
    <w:tmpl w:val="7B943A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09" w:hanging="567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5-31"/>
    <w:docVar w:name="LE_Links" w:val="{42081CC9-9408-4E86-A470-6B4328DA0A0A}"/>
  </w:docVars>
  <w:rsids>
    <w:rsidRoot w:val="009F1787"/>
    <w:rsid w:val="00483DBC"/>
    <w:rsid w:val="005F36A7"/>
    <w:rsid w:val="00941DA6"/>
    <w:rsid w:val="009F1787"/>
    <w:rsid w:val="00BC1882"/>
    <w:rsid w:val="00D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4370-6675-4110-ACBC-9C316F5F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F178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9F1787"/>
    <w:pPr>
      <w:ind w:left="720"/>
      <w:contextualSpacing/>
    </w:pPr>
  </w:style>
  <w:style w:type="character" w:customStyle="1" w:styleId="FontStyle13">
    <w:name w:val="Font Style13"/>
    <w:uiPriority w:val="99"/>
    <w:rsid w:val="009F1787"/>
    <w:rPr>
      <w:rFonts w:ascii="Bookman Old Style" w:hAnsi="Bookman Old Style" w:hint="default"/>
      <w:sz w:val="22"/>
    </w:rPr>
  </w:style>
  <w:style w:type="character" w:customStyle="1" w:styleId="AkapitzlistZnak">
    <w:name w:val="Akapit z listą Znak"/>
    <w:link w:val="Akapitzlist"/>
    <w:uiPriority w:val="99"/>
    <w:locked/>
    <w:rsid w:val="009F178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rawiedliwosc/ogloszenia-i-komunikaty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pl/web/koronaw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081CC9-9408-4E86-A470-6B4328DA0A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2020-05-31T08:04:00Z</dcterms:created>
  <dcterms:modified xsi:type="dcterms:W3CDTF">2020-05-31T08:14:00Z</dcterms:modified>
</cp:coreProperties>
</file>